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Override ContentType="application/vnd.openxmlformats-officedocument.wordprocessingml.header+xml" PartName="/word/header4.xml"/>
  <Override ContentType="application/vnd.openxmlformats-officedocument.wordprocessingml.footer+xml" PartName="/word/footer4.xml"/>
  <Override ContentType="application/vnd.openxmlformats-officedocument.wordprocessingml.header+xml" PartName="/word/header5.xml"/>
  <Override ContentType="application/vnd.openxmlformats-officedocument.wordprocessingml.footer+xml" PartName="/word/footer5.xml"/>
  <Override ContentType="application/vnd.openxmlformats-officedocument.wordprocessingml.header+xml" PartName="/word/header6.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line="480" w:lineRule="exact"/>
      </w:pPr>
      <w:r>
        <w:rPr>
          <w:rFonts w:ascii="Lora" w:cs="Lora" w:eastAsia="Lora" w:hAnsi="Lora"/>
          <w:b/>
          <w:bCs/>
          <w:color w:val="353434"/>
          <w:sz w:val="40"/>
          <w:szCs w:val="40"/>
        </w:rPr>
        <w:t xml:space="preserve">Eike Otto</w:t>
      </w:r>
    </w:p>
    <w:p>
      <w:pPr>
        <w:spacing w:after="480" w:before="0" w:line="480" w:lineRule="exact"/>
      </w:pPr>
      <w:r>
        <w:rPr>
          <w:rFonts w:ascii="Hind Madurai" w:cs="Hind Madurai" w:eastAsia="Hind Madurai" w:hAnsi="Hind Madurai"/>
          <w:b w:val="false"/>
          <w:bCs w:val="false"/>
          <w:color w:val="353434"/>
          <w:sz w:val="32"/>
          <w:szCs w:val="32"/>
        </w:rPr>
        <w:t xml:space="preserve">Designer UX/UI senior · Design produit · Recherche utilisateur · UX writing</w:t>
      </w:r>
    </w:p>
    <w:p>
      <w:pPr>
        <w:spacing w:after="800" w:before="0" w:line="320" w:lineRule="exact"/>
      </w:pPr>
      <w:r>
        <w:rPr>
          <w:rFonts w:ascii="Hind Madurai" w:cs="Hind Madurai" w:eastAsia="Hind Madurai" w:hAnsi="Hind Madurai"/>
          <w:b w:val="false"/>
          <w:bCs w:val="false"/>
          <w:color w:val="000000"/>
          <w:sz w:val="20"/>
          <w:szCs w:val="20"/>
        </w:rPr>
        <w:t xml:space="preserve">Depuis plus de 20 ans, je conçois des services numériques pour des secteurs régulés : énergie, logistique du colis, mobilité, assurance. Des processus encadrés par la loi, plusieurs rôles internes, et des clients qui ne devraient jamais avoir à comprendre tout cela. Recherche, interface et langage viennent d’une seule personne : moins de passages de relais, et un responsable du premier entretien jusqu’à la mise en production.</w:t>
      </w:r>
    </w:p>
    <w:tbl>
      <w:tblPr>
        <w:tblW w:type="dxa" w:w="10460"/>
        <w:tblBorders>
          <w:top w:val="none" w:color="FFFFFF" w:sz="0"/>
          <w:left w:val="none" w:color="FFFFFF" w:sz="0"/>
          <w:bottom w:val="none" w:color="FFFFFF" w:sz="0"/>
          <w:right w:val="none" w:color="FFFFFF" w:sz="0"/>
          <w:insideH w:val="single" w:color="EDEDED" w:sz="4"/>
          <w:insideV w:val="none" w:color="FFFFFF" w:sz="0"/>
        </w:tblBorders>
      </w:tblPr>
      <w:tblGrid>
        <w:gridCol w:w="2980"/>
        <w:gridCol w:w="2280"/>
        <w:gridCol w:w="5200"/>
      </w:tblGrid>
      <w:tr>
        <w:tc>
          <w:tcPr>
            <w:tcW w:type="dxa" w:w="2980"/>
            <w:tcBorders>
              <w:bottom w:val="single" w:color="C0C0C0" w:sz="4"/>
            </w:tcBorders>
            <w:tcMar>
              <w:top w:type="dxa" w:w="0"/>
              <w:left w:type="dxa" w:w="0"/>
              <w:bottom w:type="dxa" w:w="360"/>
              <w:right w:type="dxa" w:w="160"/>
            </w:tcMar>
            <w:vAlign w:val="top"/>
          </w:tcPr>
          <w:p>
            <w:pPr>
              <w:spacing w:after="0" w:before="0" w:line="300" w:lineRule="exact"/>
            </w:pPr>
            <w:r>
              <w:rPr>
                <w:rFonts w:ascii="Hind Madurai" w:cs="Hind Madurai" w:eastAsia="Hind Madurai" w:hAnsi="Hind Madurai"/>
                <w:b/>
                <w:bCs/>
                <w:color w:val="353434"/>
                <w:sz w:val="22"/>
                <w:szCs w:val="22"/>
              </w:rPr>
              <w:t xml:space="preserve">Rôle</w:t>
            </w:r>
          </w:p>
        </w:tc>
        <w:tc>
          <w:tcPr>
            <w:tcW w:type="dxa" w:w="2280"/>
            <w:tcBorders>
              <w:bottom w:val="single" w:color="C0C0C0" w:sz="4"/>
            </w:tcBorders>
            <w:tcMar>
              <w:top w:type="dxa" w:w="0"/>
              <w:left w:type="dxa" w:w="0"/>
              <w:bottom w:type="dxa" w:w="360"/>
              <w:right w:type="dxa" w:w="160"/>
            </w:tcMar>
            <w:vAlign w:val="top"/>
          </w:tcPr>
          <w:p>
            <w:pPr>
              <w:spacing w:after="0" w:before="0" w:line="300" w:lineRule="exact"/>
            </w:pPr>
            <w:r>
              <w:rPr>
                <w:rFonts w:ascii="Hind Madurai" w:cs="Hind Madurai" w:eastAsia="Hind Madurai" w:hAnsi="Hind Madurai"/>
                <w:b/>
                <w:bCs/>
                <w:color w:val="353434"/>
                <w:sz w:val="22"/>
                <w:szCs w:val="22"/>
              </w:rPr>
              <w:t xml:space="preserve">Expérience</w:t>
            </w:r>
          </w:p>
        </w:tc>
        <w:tc>
          <w:tcPr>
            <w:tcW w:type="dxa" w:w="5200"/>
            <w:tcBorders>
              <w:bottom w:val="single" w:color="C0C0C0" w:sz="4"/>
            </w:tcBorders>
            <w:tcMar>
              <w:top w:type="dxa" w:w="0"/>
              <w:left w:type="dxa" w:w="0"/>
              <w:bottom w:type="dxa" w:w="360"/>
              <w:right w:type="dxa" w:w="160"/>
            </w:tcMar>
            <w:vAlign w:val="top"/>
          </w:tcPr>
          <w:p>
            <w:pPr>
              <w:spacing w:after="0" w:before="0" w:line="300" w:lineRule="exact"/>
            </w:pPr>
            <w:r>
              <w:rPr>
                <w:rFonts w:ascii="Hind Madurai" w:cs="Hind Madurai" w:eastAsia="Hind Madurai" w:hAnsi="Hind Madurai"/>
                <w:b/>
                <w:bCs/>
                <w:color w:val="353434"/>
                <w:sz w:val="22"/>
                <w:szCs w:val="22"/>
              </w:rPr>
              <w:t xml:space="preserve">Références</w:t>
            </w:r>
          </w:p>
        </w:tc>
      </w:tr>
      <w:tr>
        <w:tc>
          <w:tcPr>
            <w:tcW w:type="dxa" w:w="29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Design UX, produit et interaction</w:t>
            </w:r>
          </w:p>
        </w:tc>
        <w:tc>
          <w:tcPr>
            <w:tcW w:type="dxa" w:w="22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15 ans</w:t>
            </w:r>
          </w:p>
        </w:tc>
        <w:tc>
          <w:tcPr>
            <w:tcW w:type="dxa" w:w="520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50Hertz, Porsche, Hermes, Signal Iduna, VW Véhicules Utilitaires, Metro, AIDA, Pfizer, MediaMarkt-Saturn</w:t>
            </w:r>
          </w:p>
        </w:tc>
      </w:tr>
      <w:tr>
        <w:tc>
          <w:tcPr>
            <w:tcW w:type="dxa" w:w="29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Recherche utilisateur, qualitative et quantitative</w:t>
            </w:r>
          </w:p>
        </w:tc>
        <w:tc>
          <w:tcPr>
            <w:tcW w:type="dxa" w:w="22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13 ans</w:t>
            </w:r>
          </w:p>
        </w:tc>
        <w:tc>
          <w:tcPr>
            <w:tcW w:type="dxa" w:w="520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50Hertz, Porsche, Hermes, Signal Iduna, Knauf, Metro, MediaMarkt-Saturn</w:t>
            </w:r>
          </w:p>
        </w:tc>
      </w:tr>
      <w:tr>
        <w:tc>
          <w:tcPr>
            <w:tcW w:type="dxa" w:w="29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Design UI, design systems, chartes et transmission</w:t>
            </w:r>
          </w:p>
        </w:tc>
        <w:tc>
          <w:tcPr>
            <w:tcW w:type="dxa" w:w="22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6 ans</w:t>
            </w:r>
          </w:p>
        </w:tc>
        <w:tc>
          <w:tcPr>
            <w:tcW w:type="dxa" w:w="520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50Hertz, Porsche, Hermes, Knauf, Metro</w:t>
            </w:r>
          </w:p>
        </w:tc>
      </w:tr>
      <w:tr>
        <w:tc>
          <w:tcPr>
            <w:tcW w:type="dxa" w:w="29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Rédaction UX, rédaction publicitaire</w:t>
            </w:r>
          </w:p>
        </w:tc>
        <w:tc>
          <w:tcPr>
            <w:tcW w:type="dxa" w:w="22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15 ans</w:t>
            </w:r>
          </w:p>
        </w:tc>
        <w:tc>
          <w:tcPr>
            <w:tcW w:type="dxa" w:w="520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50Hertz, Porsche, Hermes, Signal Iduna, Metro, MediaMarkt-Saturn, JTI Suisse</w:t>
            </w:r>
          </w:p>
        </w:tc>
      </w:tr>
      <w:tr>
        <w:tc>
          <w:tcPr>
            <w:tcW w:type="dxa" w:w="29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Conseil UX</w:t>
            </w:r>
          </w:p>
        </w:tc>
        <w:tc>
          <w:tcPr>
            <w:tcW w:type="dxa" w:w="22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6 ans</w:t>
            </w:r>
          </w:p>
        </w:tc>
        <w:tc>
          <w:tcPr>
            <w:tcW w:type="dxa" w:w="520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Knauf, VW Véhicules Utilitaires, wetter.com</w:t>
            </w:r>
          </w:p>
        </w:tc>
      </w:tr>
      <w:tr>
        <w:tc>
          <w:tcPr>
            <w:tcW w:type="dxa" w:w="29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Direction de projet et de production</w:t>
            </w:r>
          </w:p>
        </w:tc>
        <w:tc>
          <w:tcPr>
            <w:tcW w:type="dxa" w:w="22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7 ans</w:t>
            </w:r>
          </w:p>
        </w:tc>
        <w:tc>
          <w:tcPr>
            <w:tcW w:type="dxa" w:w="520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T-Systems MMS, Terratools</w:t>
            </w:r>
          </w:p>
        </w:tc>
      </w:tr>
    </w:tbl>
    <w:p>
      <w:pPr>
        <w:keepNext/>
        <w:spacing w:after="320" w:before="600" w:line="300" w:lineRule="exact"/>
      </w:pPr>
      <w:r>
        <w:rPr>
          <w:rFonts w:ascii="Hind Madurai" w:cs="Hind Madurai" w:eastAsia="Hind Madurai" w:hAnsi="Hind Madurai"/>
          <w:b/>
          <w:bCs/>
          <w:color w:val="353434"/>
          <w:sz w:val="22"/>
          <w:szCs w:val="22"/>
        </w:rPr>
        <w:t xml:space="preserve">Secteurs</w:t>
      </w:r>
    </w:p>
    <w:p>
      <w:pPr>
        <w:tabs>
          <w:tab w:val="left" w:pos="1760"/>
          <w:tab w:val="left" w:pos="4860"/>
          <w:tab w:val="left" w:pos="7440"/>
        </w:tabs>
        <w:spacing w:after="80" w:line="260" w:lineRule="exact"/>
      </w:pPr>
      <w:r>
        <w:rPr>
          <w:rFonts w:ascii="Hind Madurai" w:cs="Hind Madurai" w:eastAsia="Hind Madurai" w:hAnsi="Hind Madurai"/>
          <w:b w:val="false"/>
          <w:bCs w:val="false"/>
          <w:color w:val="353434"/>
          <w:sz w:val="18"/>
          <w:szCs w:val="18"/>
        </w:rPr>
        <w:t xml:space="preserve">Automobile  </w:t>
      </w:r>
      <w:r>
        <w:rPr>
          <w:rFonts w:ascii="Hind Madurai" w:cs="Hind Madurai" w:eastAsia="Hind Madurai" w:hAnsi="Hind Madurai"/>
          <w:b/>
          <w:bCs/>
          <w:color w:val="353434"/>
          <w:sz w:val="18"/>
          <w:szCs w:val="18"/>
        </w:rPr>
        <w:t xml:space="preserve">6 ans</w:t>
      </w:r>
      <w:r>
        <w:rPr>
          <w:rFonts w:ascii="Hind Madurai" w:cs="Hind Madurai" w:eastAsia="Hind Madurai" w:hAnsi="Hind Madurai"/>
          <w:sz w:val="18"/>
          <w:szCs w:val="18"/>
        </w:rPr>
        <w:t xml:space="preserve">	</w:t>
      </w:r>
      <w:r>
        <w:rPr>
          <w:rFonts w:ascii="Hind Madurai" w:cs="Hind Madurai" w:eastAsia="Hind Madurai" w:hAnsi="Hind Madurai"/>
          <w:b w:val="false"/>
          <w:bCs w:val="false"/>
          <w:color w:val="353434"/>
          <w:sz w:val="18"/>
          <w:szCs w:val="18"/>
        </w:rPr>
        <w:t xml:space="preserve">E-commerce et distribution  </w:t>
      </w:r>
      <w:r>
        <w:rPr>
          <w:rFonts w:ascii="Hind Madurai" w:cs="Hind Madurai" w:eastAsia="Hind Madurai" w:hAnsi="Hind Madurai"/>
          <w:b/>
          <w:bCs/>
          <w:color w:val="353434"/>
          <w:sz w:val="18"/>
          <w:szCs w:val="18"/>
        </w:rPr>
        <w:t xml:space="preserve">4,7 ans</w:t>
      </w:r>
      <w:r>
        <w:rPr>
          <w:rFonts w:ascii="Hind Madurai" w:cs="Hind Madurai" w:eastAsia="Hind Madurai" w:hAnsi="Hind Madurai"/>
          <w:sz w:val="18"/>
          <w:szCs w:val="18"/>
        </w:rPr>
        <w:t xml:space="preserve">	</w:t>
      </w:r>
      <w:r>
        <w:rPr>
          <w:rFonts w:ascii="Hind Madurai" w:cs="Hind Madurai" w:eastAsia="Hind Madurai" w:hAnsi="Hind Madurai"/>
          <w:b w:val="false"/>
          <w:bCs w:val="false"/>
          <w:color w:val="353434"/>
          <w:sz w:val="18"/>
          <w:szCs w:val="18"/>
        </w:rPr>
        <w:t xml:space="preserve">Télécommunications  </w:t>
      </w:r>
      <w:r>
        <w:rPr>
          <w:rFonts w:ascii="Hind Madurai" w:cs="Hind Madurai" w:eastAsia="Hind Madurai" w:hAnsi="Hind Madurai"/>
          <w:b/>
          <w:bCs/>
          <w:color w:val="353434"/>
          <w:sz w:val="18"/>
          <w:szCs w:val="18"/>
        </w:rPr>
        <w:t xml:space="preserve">5,2 ans</w:t>
      </w:r>
      <w:r>
        <w:rPr>
          <w:rFonts w:ascii="Hind Madurai" w:cs="Hind Madurai" w:eastAsia="Hind Madurai" w:hAnsi="Hind Madurai"/>
          <w:sz w:val="18"/>
          <w:szCs w:val="18"/>
        </w:rPr>
        <w:t xml:space="preserve">	</w:t>
      </w:r>
      <w:r>
        <w:rPr>
          <w:rFonts w:ascii="Hind Madurai" w:cs="Hind Madurai" w:eastAsia="Hind Madurai" w:hAnsi="Hind Madurai"/>
          <w:b w:val="false"/>
          <w:bCs w:val="false"/>
          <w:color w:val="353434"/>
          <w:sz w:val="18"/>
          <w:szCs w:val="18"/>
        </w:rPr>
        <w:t xml:space="preserve">Médias et jeux vidéo  </w:t>
      </w:r>
      <w:r>
        <w:rPr>
          <w:rFonts w:ascii="Hind Madurai" w:cs="Hind Madurai" w:eastAsia="Hind Madurai" w:hAnsi="Hind Madurai"/>
          <w:b/>
          <w:bCs/>
          <w:color w:val="353434"/>
          <w:sz w:val="18"/>
          <w:szCs w:val="18"/>
        </w:rPr>
        <w:t xml:space="preserve">2,5 ans</w:t>
      </w:r>
    </w:p>
    <w:p>
      <w:pPr>
        <w:tabs>
          <w:tab w:val="left" w:pos="1760"/>
          <w:tab w:val="left" w:pos="4860"/>
          <w:tab w:val="left" w:pos="7440"/>
        </w:tabs>
        <w:spacing w:after="80" w:line="260" w:lineRule="exact"/>
      </w:pPr>
      <w:r>
        <w:rPr>
          <w:rFonts w:ascii="Hind Madurai" w:cs="Hind Madurai" w:eastAsia="Hind Madurai" w:hAnsi="Hind Madurai"/>
          <w:b w:val="false"/>
          <w:bCs w:val="false"/>
          <w:color w:val="353434"/>
          <w:sz w:val="18"/>
          <w:szCs w:val="18"/>
        </w:rPr>
        <w:t xml:space="preserve">Énergie  </w:t>
      </w:r>
      <w:r>
        <w:rPr>
          <w:rFonts w:ascii="Hind Madurai" w:cs="Hind Madurai" w:eastAsia="Hind Madurai" w:hAnsi="Hind Madurai"/>
          <w:b/>
          <w:bCs/>
          <w:color w:val="353434"/>
          <w:sz w:val="18"/>
          <w:szCs w:val="18"/>
        </w:rPr>
        <w:t xml:space="preserve">2 ans</w:t>
      </w:r>
      <w:r>
        <w:rPr>
          <w:rFonts w:ascii="Hind Madurai" w:cs="Hind Madurai" w:eastAsia="Hind Madurai" w:hAnsi="Hind Madurai"/>
          <w:sz w:val="18"/>
          <w:szCs w:val="18"/>
        </w:rPr>
        <w:t xml:space="preserve">	</w:t>
      </w:r>
      <w:r>
        <w:rPr>
          <w:rFonts w:ascii="Hind Madurai" w:cs="Hind Madurai" w:eastAsia="Hind Madurai" w:hAnsi="Hind Madurai"/>
          <w:b w:val="false"/>
          <w:bCs w:val="false"/>
          <w:color w:val="353434"/>
          <w:sz w:val="18"/>
          <w:szCs w:val="18"/>
        </w:rPr>
        <w:t xml:space="preserve">Banque et assurance  </w:t>
      </w:r>
      <w:r>
        <w:rPr>
          <w:rFonts w:ascii="Hind Madurai" w:cs="Hind Madurai" w:eastAsia="Hind Madurai" w:hAnsi="Hind Madurai"/>
          <w:b/>
          <w:bCs/>
          <w:color w:val="353434"/>
          <w:sz w:val="18"/>
          <w:szCs w:val="18"/>
        </w:rPr>
        <w:t xml:space="preserve">1,8 ans</w:t>
      </w:r>
      <w:r>
        <w:rPr>
          <w:rFonts w:ascii="Hind Madurai" w:cs="Hind Madurai" w:eastAsia="Hind Madurai" w:hAnsi="Hind Madurai"/>
          <w:sz w:val="18"/>
          <w:szCs w:val="18"/>
        </w:rPr>
        <w:t xml:space="preserve">	</w:t>
      </w:r>
      <w:r>
        <w:rPr>
          <w:rFonts w:ascii="Hind Madurai" w:cs="Hind Madurai" w:eastAsia="Hind Madurai" w:hAnsi="Hind Madurai"/>
          <w:b w:val="false"/>
          <w:bCs w:val="false"/>
          <w:color w:val="353434"/>
          <w:sz w:val="18"/>
          <w:szCs w:val="18"/>
        </w:rPr>
        <w:t xml:space="preserve">Pharmacie et santé  </w:t>
      </w:r>
      <w:r>
        <w:rPr>
          <w:rFonts w:ascii="Hind Madurai" w:cs="Hind Madurai" w:eastAsia="Hind Madurai" w:hAnsi="Hind Madurai"/>
          <w:b/>
          <w:bCs/>
          <w:color w:val="353434"/>
          <w:sz w:val="18"/>
          <w:szCs w:val="18"/>
        </w:rPr>
        <w:t xml:space="preserve">0,8 ans</w:t>
      </w:r>
      <w:r>
        <w:rPr>
          <w:rFonts w:ascii="Hind Madurai" w:cs="Hind Madurai" w:eastAsia="Hind Madurai" w:hAnsi="Hind Madurai"/>
          <w:sz w:val="18"/>
          <w:szCs w:val="18"/>
        </w:rPr>
        <w:t xml:space="preserve">	</w:t>
      </w:r>
      <w:r>
        <w:rPr>
          <w:rFonts w:ascii="Hind Madurai" w:cs="Hind Madurai" w:eastAsia="Hind Madurai" w:hAnsi="Hind Madurai"/>
          <w:b w:val="false"/>
          <w:bCs w:val="false"/>
          <w:color w:val="353434"/>
          <w:sz w:val="18"/>
          <w:szCs w:val="18"/>
        </w:rPr>
        <w:t xml:space="preserve">Tourisme · Construction · Transport</w:t>
      </w:r>
    </w:p>
    <w:p>
      <w:pPr>
        <w:keepNext/>
        <w:spacing w:after="320" w:before="560" w:line="300" w:lineRule="exact"/>
      </w:pPr>
      <w:r>
        <w:rPr>
          <w:rFonts w:ascii="Hind Madurai" w:cs="Hind Madurai" w:eastAsia="Hind Madurai" w:hAnsi="Hind Madurai"/>
          <w:b/>
          <w:bCs/>
          <w:color w:val="353434"/>
          <w:sz w:val="22"/>
          <w:szCs w:val="22"/>
        </w:rPr>
        <w:t xml:space="preserve">Types d’applications</w:t>
      </w:r>
    </w:p>
    <w:p>
      <w:pPr>
        <w:spacing w:after="0" w:before="0" w:line="260" w:lineRule="exact"/>
      </w:pPr>
      <w:r>
        <w:rPr>
          <w:rFonts w:ascii="Hind Madurai" w:cs="Hind Madurai" w:eastAsia="Hind Madurai" w:hAnsi="Hind Madurai"/>
          <w:b w:val="false"/>
          <w:bCs w:val="false"/>
          <w:color w:val="000000"/>
          <w:sz w:val="18"/>
          <w:szCs w:val="18"/>
        </w:rPr>
        <w:t xml:space="preserve">Applications internes d’entreprise et pour collaborateurs (gestion de flotte VW Véhicules Utilitaires, outils de service Porsche Drive, portail des gestionnaires de points de comptage 50Hertz, portail fabricant Knauf) · portails B2B · systèmes B2E dans la distribution (tunnel de commande et back-office de la boutique MediaMarkt-Saturn, plateforme de contenus Metro) · services B2C à fort volume (Hermes, plus d’1 million de visites par jour) · applications multiplateformes (AIDA, Porsche, Deutsche Bahn) · applications natives, mono et multiplateformes (iOS et Android)</w:t>
      </w:r>
    </w:p>
    <w:p>
      <w:pPr>
        <w:sectPr>
          <w:headerReference w:type="default" r:id="rId7"/>
          <w:footerReference w:type="default" r:id="rId8"/>
          <w:pgSz w:w="11900" w:h="16840" w:orient="portrait"/>
          <w:pgMar w:top="1440" w:right="720" w:bottom="1440" w:left="720" w:header="400" w:footer="1080" w:gutter="0"/>
          <w:pgNumType/>
          <w:titlePg w:val="false"/>
          <w:docGrid w:linePitch="360"/>
        </w:sectPr>
      </w:pPr>
    </w:p>
    <w:p>
      <w:pPr>
        <w:keepNext/>
        <w:spacing w:after="160" w:before="0" w:line="300" w:lineRule="exact"/>
      </w:pPr>
      <w:r>
        <w:rPr>
          <w:rFonts w:ascii="Hind Madurai" w:cs="Hind Madurai" w:eastAsia="Hind Madurai" w:hAnsi="Hind Madurai"/>
          <w:b/>
          <w:bCs/>
          <w:color w:val="353434"/>
          <w:sz w:val="22"/>
          <w:szCs w:val="22"/>
        </w:rPr>
        <w:t xml:space="preserve">Recherche utilisateur</w:t>
      </w:r>
    </w:p>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0"/>
        <w:gridCol w:w="9420"/>
      </w:tblGrid>
      <w:tr>
        <w:tc>
          <w:tcPr>
            <w:tcW w:type="dxa" w:w="1040"/>
            <w:tcMar>
              <w:top w:type="dxa" w:w="0"/>
              <w:left w:type="dxa" w:w="0"/>
              <w:bottom w:type="dxa" w:w="8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Qualitatif</w:t>
            </w:r>
          </w:p>
        </w:tc>
        <w:tc>
          <w:tcPr>
            <w:tcW w:type="dxa" w:w="9420"/>
            <w:tcMar>
              <w:top w:type="dxa" w:w="0"/>
              <w:left w:type="dxa" w:w="0"/>
              <w:bottom w:type="dxa" w:w="8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Entretiens approfondis et contextuels · guides d’entretien et grilles d’analyse · tests d’utilisabilité modérés · observation en poste · rapports d’utilisabilité · traduction des enseignements en exigences UX et design · base de connaissances dans Condens et Dovetail</w:t>
            </w:r>
          </w:p>
        </w:tc>
      </w:tr>
      <w:tr>
        <w:tc>
          <w:tcPr>
            <w:tcW w:type="dxa" w:w="1040"/>
            <w:tcMar>
              <w:top w:type="dxa" w:w="0"/>
              <w:left w:type="dxa" w:w="0"/>
              <w:bottom w:type="dxa" w:w="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Quantitatif</w:t>
            </w:r>
          </w:p>
        </w:tc>
        <w:tc>
          <w:tcPr>
            <w:tcW w:type="dxa" w:w="9420"/>
            <w:tcMar>
              <w:top w:type="dxa" w:w="0"/>
              <w:left w:type="dxa" w:w="0"/>
              <w:bottom w:type="dxa" w:w="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Enquêtes et questionnaires en ligne · tri par cartes et test d’arborescence · tests A/B et multivariés, y compris choix de l’outil, mise en place et analyse (MediaMarkt-Saturn) · analyse des systèmes de mesure d’audience (Google Analytics) · indicateurs UX et mesure du succès · tests en foule · approches méthodes mixtes</w:t>
            </w:r>
          </w:p>
        </w:tc>
      </w:tr>
    </w:tbl>
    <w:p>
      <w:pPr>
        <w:keepNext/>
        <w:spacing w:after="160" w:before="300" w:line="300" w:lineRule="exact"/>
      </w:pPr>
      <w:r>
        <w:rPr>
          <w:rFonts w:ascii="Hind Madurai" w:cs="Hind Madurai" w:eastAsia="Hind Madurai" w:hAnsi="Hind Madurai"/>
          <w:b/>
          <w:bCs/>
          <w:color w:val="353434"/>
          <w:sz w:val="22"/>
          <w:szCs w:val="22"/>
        </w:rPr>
        <w:t xml:space="preserve">Conception, stratégie et animation</w:t>
      </w:r>
    </w:p>
    <w:p>
      <w:pPr>
        <w:spacing w:after="0" w:before="0" w:line="260" w:lineRule="exact"/>
      </w:pPr>
      <w:r>
        <w:rPr>
          <w:rFonts w:ascii="Hind Madurai" w:cs="Hind Madurai" w:eastAsia="Hind Madurai" w:hAnsi="Hind Madurai"/>
          <w:b w:val="false"/>
          <w:bCs w:val="false"/>
          <w:color w:val="000000"/>
          <w:sz w:val="18"/>
          <w:szCs w:val="18"/>
        </w:rPr>
        <w:t xml:space="preserve">Recueil des exigences · ateliers avec les parties prenantes et présentation des résultats devant des publics métier et dirigeants (50Hertz, Signal Iduna, Metro, MediaMarkt-Saturn) · ateliers d’idéation et de cadrage avec des parties prenantes internationales · design thinking · vision de service · cartes de parcours client (y compris multicanal) · service blueprints · personas et cartes d’empathie · architecture de l’information · stratégie et matrices de contenu</w:t>
      </w:r>
    </w:p>
    <w:p>
      <w:pPr>
        <w:keepNext/>
        <w:spacing w:after="160" w:before="300" w:line="300" w:lineRule="exact"/>
      </w:pPr>
      <w:r>
        <w:rPr>
          <w:rFonts w:ascii="Hind Madurai" w:cs="Hind Madurai" w:eastAsia="Hind Madurai" w:hAnsi="Hind Madurai"/>
          <w:b/>
          <w:bCs/>
          <w:color w:val="353434"/>
          <w:sz w:val="22"/>
          <w:szCs w:val="22"/>
        </w:rPr>
        <w:t xml:space="preserve">Design, design systems et texte</w:t>
      </w:r>
    </w:p>
    <w:p>
      <w:pPr>
        <w:spacing w:after="0" w:before="0" w:line="260" w:lineRule="exact"/>
      </w:pPr>
      <w:r>
        <w:rPr>
          <w:rFonts w:ascii="Hind Madurai" w:cs="Hind Madurai" w:eastAsia="Hind Madurai" w:hAnsi="Hind Madurai"/>
          <w:b w:val="false"/>
          <w:bCs w:val="false"/>
          <w:color w:val="000000"/>
          <w:sz w:val="18"/>
          <w:szCs w:val="18"/>
        </w:rPr>
        <w:t xml:space="preserve">Parcours utilisateurs, flux d’interface et de tâches · wireframes, maquettes cliquables et prototypes interactifs · design systems : tokens, composants et composants imbriqués, variantes, états, motifs et entretien de la bibliothèque · transmission au développement avec spécification des états, des espacements, des points de rupture et de la logique des composants (dans tous les projets d’interface) · visualisation de données (vues de données énergétiques 50Hertz, tableau de bord de gestion de flotte VW Véhicules Utilitaires) · design responsive · design accessible · storyboards · illustration · rédaction UX, microcopie et kits de texte</w:t>
      </w:r>
    </w:p>
    <w:p>
      <w:pPr>
        <w:keepNext/>
        <w:spacing w:after="160" w:before="300" w:line="300" w:lineRule="exact"/>
      </w:pPr>
      <w:r>
        <w:rPr>
          <w:rFonts w:ascii="Hind Madurai" w:cs="Hind Madurai" w:eastAsia="Hind Madurai" w:hAnsi="Hind Madurai"/>
          <w:b/>
          <w:bCs/>
          <w:color w:val="353434"/>
          <w:sz w:val="22"/>
          <w:szCs w:val="22"/>
        </w:rPr>
        <w:t xml:space="preserve">Collaboration</w:t>
      </w:r>
    </w:p>
    <w:p>
      <w:pPr>
        <w:spacing w:after="0" w:before="0" w:line="260" w:lineRule="exact"/>
      </w:pPr>
      <w:r>
        <w:rPr>
          <w:rFonts w:ascii="Hind Madurai" w:cs="Hind Madurai" w:eastAsia="Hind Madurai" w:hAnsi="Hind Madurai"/>
          <w:b w:val="false"/>
          <w:bCs w:val="false"/>
          <w:color w:val="000000"/>
          <w:sz w:val="18"/>
          <w:szCs w:val="18"/>
        </w:rPr>
        <w:t xml:space="preserve">UX agile / Scrum · epics, user stories et tenue du backlog · conception détaillée, cahier des charges, cas de test · conseil aux product owners et aux parties prenantes · encadrement fonctionnel</w:t>
      </w:r>
    </w:p>
    <w:p>
      <w:pPr>
        <w:keepNext/>
        <w:spacing w:after="160" w:before="300" w:line="300" w:lineRule="exact"/>
      </w:pPr>
      <w:r>
        <w:rPr>
          <w:rFonts w:ascii="Hind Madurai" w:cs="Hind Madurai" w:eastAsia="Hind Madurai" w:hAnsi="Hind Madurai"/>
          <w:b/>
          <w:bCs/>
          <w:color w:val="353434"/>
          <w:sz w:val="22"/>
          <w:szCs w:val="22"/>
        </w:rPr>
        <w:t xml:space="preserve">Méthode de travail assistée par IA</w:t>
      </w:r>
    </w:p>
    <w:p>
      <w:pPr>
        <w:spacing w:after="0" w:before="0" w:line="260" w:lineRule="exact"/>
      </w:pPr>
      <w:r>
        <w:rPr>
          <w:rFonts w:ascii="Hind Madurai" w:cs="Hind Madurai" w:eastAsia="Hind Madurai" w:hAnsi="Hind Madurai"/>
          <w:b w:val="false"/>
          <w:bCs w:val="false"/>
          <w:color w:val="000000"/>
          <w:sz w:val="18"/>
          <w:szCs w:val="18"/>
        </w:rPr>
        <w:t xml:space="preserve">Design-to-code via la connexion MCP de Figma : construction d’un prototype de site complet et responsive directement à partir des maquettes Figma, logique des composants, points de rupture et design tokens compris · recherche, rédaction et vérification de code assistées par IA dans le processus de conception · Claude Code et OpenAI Codex pour le développement iOS</w:t>
      </w:r>
    </w:p>
    <w:p>
      <w:pPr>
        <w:keepNext/>
        <w:spacing w:after="160" w:before="300" w:line="300" w:lineRule="exact"/>
      </w:pPr>
      <w:r>
        <w:rPr>
          <w:rFonts w:ascii="Hind Madurai" w:cs="Hind Madurai" w:eastAsia="Hind Madurai" w:hAnsi="Hind Madurai"/>
          <w:b/>
          <w:bCs/>
          <w:color w:val="353434"/>
          <w:sz w:val="22"/>
          <w:szCs w:val="22"/>
        </w:rPr>
        <w:t xml:space="preserve">Outils</w:t>
      </w:r>
    </w:p>
    <w:p>
      <w:pPr>
        <w:spacing w:after="0" w:before="0" w:line="260" w:lineRule="exact"/>
      </w:pPr>
      <w:r>
        <w:rPr>
          <w:rFonts w:ascii="Hind Madurai" w:cs="Hind Madurai" w:eastAsia="Hind Madurai" w:hAnsi="Hind Madurai"/>
          <w:b/>
          <w:bCs/>
          <w:color w:val="000000"/>
          <w:sz w:val="18"/>
          <w:szCs w:val="18"/>
        </w:rPr>
        <w:t xml:space="preserve">Design</w:t>
      </w:r>
      <w:r>
        <w:rPr>
          <w:rFonts w:ascii="Hind Madurai" w:cs="Hind Madurai" w:eastAsia="Hind Madurai" w:hAnsi="Hind Madurai"/>
          <w:b w:val="false"/>
          <w:bCs w:val="false"/>
          <w:color w:val="000000"/>
          <w:sz w:val="18"/>
          <w:szCs w:val="18"/>
        </w:rPr>
        <w:t xml:space="preserve"> Figma et FigJam depuis 2019 (auto layout, variables et tokens, bibliothèques de composants, variantes et états, prototypes interactifs) · Sketch depuis 2017 · Axure RP (outil UX principal jusqu’à son remplacement par Sketch/Figma) · InVision · UXPin · Adobe Creative Suite · Storybook · Zeplin · Abstract · </w:t>
      </w:r>
      <w:r>
        <w:rPr>
          <w:rFonts w:ascii="Hind Madurai" w:cs="Hind Madurai" w:eastAsia="Hind Madurai" w:hAnsi="Hind Madurai"/>
          <w:b/>
          <w:bCs/>
          <w:color w:val="000000"/>
          <w:sz w:val="18"/>
          <w:szCs w:val="18"/>
        </w:rPr>
        <w:t xml:space="preserve">Research</w:t>
      </w:r>
      <w:r>
        <w:rPr>
          <w:rFonts w:ascii="Hind Madurai" w:cs="Hind Madurai" w:eastAsia="Hind Madurai" w:hAnsi="Hind Madurai"/>
          <w:b w:val="false"/>
          <w:bCs w:val="false"/>
          <w:color w:val="000000"/>
          <w:sz w:val="18"/>
          <w:szCs w:val="18"/>
        </w:rPr>
        <w:t xml:space="preserve"> Condens · Dovetail · Google Analytics · Matomo · Optimal Workshop · Survey Monkey · Hotjar · Oracle Maxymiser · </w:t>
      </w:r>
      <w:r>
        <w:rPr>
          <w:rFonts w:ascii="Hind Madurai" w:cs="Hind Madurai" w:eastAsia="Hind Madurai" w:hAnsi="Hind Madurai"/>
          <w:b/>
          <w:bCs/>
          <w:color w:val="000000"/>
          <w:sz w:val="18"/>
          <w:szCs w:val="18"/>
        </w:rPr>
        <w:t xml:space="preserve">Gestion de projet et suivi des tickets</w:t>
      </w:r>
      <w:r>
        <w:rPr>
          <w:rFonts w:ascii="Hind Madurai" w:cs="Hind Madurai" w:eastAsia="Hind Madurai" w:hAnsi="Hind Madurai"/>
          <w:b w:val="false"/>
          <w:bCs w:val="false"/>
          <w:color w:val="000000"/>
          <w:sz w:val="18"/>
          <w:szCs w:val="18"/>
        </w:rPr>
        <w:t xml:space="preserve"> Jira &amp; Confluence · Azure DevOps · Asana · MS-Project · </w:t>
      </w:r>
      <w:r>
        <w:rPr>
          <w:rFonts w:ascii="Hind Madurai" w:cs="Hind Madurai" w:eastAsia="Hind Madurai" w:hAnsi="Hind Madurai"/>
          <w:b/>
          <w:bCs/>
          <w:color w:val="000000"/>
          <w:sz w:val="18"/>
          <w:szCs w:val="18"/>
        </w:rPr>
        <w:t xml:space="preserve">Bureautique</w:t>
      </w:r>
      <w:r>
        <w:rPr>
          <w:rFonts w:ascii="Hind Madurai" w:cs="Hind Madurai" w:eastAsia="Hind Madurai" w:hAnsi="Hind Madurai"/>
          <w:b w:val="false"/>
          <w:bCs w:val="false"/>
          <w:color w:val="000000"/>
          <w:sz w:val="18"/>
          <w:szCs w:val="18"/>
        </w:rPr>
        <w:t xml:space="preserve"> MS-Office · MS-Visio · Pages · Keynote · </w:t>
      </w:r>
      <w:r>
        <w:rPr>
          <w:rFonts w:ascii="Hind Madurai" w:cs="Hind Madurai" w:eastAsia="Hind Madurai" w:hAnsi="Hind Madurai"/>
          <w:b/>
          <w:bCs/>
          <w:color w:val="000000"/>
          <w:sz w:val="18"/>
          <w:szCs w:val="18"/>
        </w:rPr>
        <w:t xml:space="preserve">Développement</w:t>
      </w:r>
      <w:r>
        <w:rPr>
          <w:rFonts w:ascii="Hind Madurai" w:cs="Hind Madurai" w:eastAsia="Hind Madurai" w:hAnsi="Hind Madurai"/>
          <w:b w:val="false"/>
          <w:bCs w:val="false"/>
          <w:color w:val="000000"/>
          <w:sz w:val="18"/>
          <w:szCs w:val="18"/>
        </w:rPr>
        <w:t xml:space="preserve"> Xcode · Git · Sublime Text · HTML/CSS · SwiftUI · </w:t>
      </w:r>
      <w:r>
        <w:rPr>
          <w:rFonts w:ascii="Hind Madurai" w:cs="Hind Madurai" w:eastAsia="Hind Madurai" w:hAnsi="Hind Madurai"/>
          <w:b/>
          <w:bCs/>
          <w:color w:val="000000"/>
          <w:sz w:val="18"/>
          <w:szCs w:val="18"/>
        </w:rPr>
        <w:t xml:space="preserve">Content Management</w:t>
      </w:r>
      <w:r>
        <w:rPr>
          <w:rFonts w:ascii="Hind Madurai" w:cs="Hind Madurai" w:eastAsia="Hind Madurai" w:hAnsi="Hind Madurai"/>
          <w:b w:val="false"/>
          <w:bCs w:val="false"/>
          <w:color w:val="000000"/>
          <w:sz w:val="18"/>
          <w:szCs w:val="18"/>
        </w:rPr>
        <w:t xml:space="preserve"> FirstSpirit · Contentful · WordPress · Drupal · Hugo</w:t>
      </w:r>
    </w:p>
    <w:p>
      <w:pPr>
        <w:keepNext/>
        <w:spacing w:after="160" w:before="300" w:line="300" w:lineRule="exact"/>
      </w:pPr>
      <w:r>
        <w:rPr>
          <w:rFonts w:ascii="Hind Madurai" w:cs="Hind Madurai" w:eastAsia="Hind Madurai" w:hAnsi="Hind Madurai"/>
          <w:b/>
          <w:bCs/>
          <w:color w:val="353434"/>
          <w:sz w:val="22"/>
          <w:szCs w:val="22"/>
        </w:rPr>
        <w:t xml:space="preserve">Formation</w:t>
      </w:r>
    </w:p>
    <w:p>
      <w:pPr>
        <w:spacing w:after="0" w:before="0" w:line="260" w:lineRule="exact"/>
      </w:pPr>
      <w:r>
        <w:rPr>
          <w:rFonts w:ascii="Hind Madurai" w:cs="Hind Madurai" w:eastAsia="Hind Madurai" w:hAnsi="Hind Madurai"/>
          <w:b w:val="false"/>
          <w:bCs w:val="false"/>
          <w:color w:val="000000"/>
          <w:sz w:val="18"/>
          <w:szCs w:val="18"/>
        </w:rPr>
        <w:t xml:space="preserve">École supérieure des arts médiatiques, Cologne · School of the Art Institute, Chicago · HbK Brunswick, diplôme de designer</w:t>
      </w:r>
    </w:p>
    <w:p>
      <w:pPr>
        <w:keepNext/>
        <w:spacing w:after="160" w:before="300" w:line="300" w:lineRule="exact"/>
      </w:pPr>
      <w:r>
        <w:rPr>
          <w:rFonts w:ascii="Hind Madurai" w:cs="Hind Madurai" w:eastAsia="Hind Madurai" w:hAnsi="Hind Madurai"/>
          <w:b/>
          <w:bCs/>
          <w:color w:val="353434"/>
          <w:sz w:val="22"/>
          <w:szCs w:val="22"/>
        </w:rPr>
        <w:t xml:space="preserve">Certificats et associations</w:t>
      </w:r>
    </w:p>
    <w:p>
      <w:pPr>
        <w:spacing w:after="0" w:before="0" w:line="260" w:lineRule="exact"/>
      </w:pPr>
      <w:r>
        <w:rPr>
          <w:rFonts w:ascii="Hind Madurai" w:cs="Hind Madurai" w:eastAsia="Hind Madurai" w:hAnsi="Hind Madurai"/>
          <w:b w:val="false"/>
          <w:bCs w:val="false"/>
          <w:color w:val="000000"/>
          <w:sz w:val="18"/>
          <w:szCs w:val="18"/>
        </w:rPr>
        <w:t xml:space="preserve">Certified Scrum Product Owner (CSPO) · certificat IxDF en design accessible · German UPA · Interaction Design Foundation</w:t>
      </w:r>
    </w:p>
    <w:p>
      <w:pPr>
        <w:sectPr>
          <w:headerReference w:type="default" r:id="rId9"/>
          <w:footerReference w:type="default" r:id="rId10"/>
          <w:pgSz w:w="11900" w:h="16840" w:orient="portrait"/>
          <w:pgMar w:top="1440" w:right="720" w:bottom="1440" w:left="720" w:header="400" w:footer="1080" w:gutter="0"/>
          <w:pgNumType/>
          <w:titlePg w:val="false"/>
          <w:docGrid w:linePitch="360"/>
        </w:sectPr>
      </w:pPr>
    </w:p>
    <w:p>
      <w:pPr>
        <w:keepNext/>
        <w:spacing w:after="220" w:before="0" w:line="300" w:lineRule="exact"/>
      </w:pPr>
      <w:r>
        <w:rPr>
          <w:rFonts w:ascii="Hind Madurai" w:cs="Hind Madurai" w:eastAsia="Hind Madurai" w:hAnsi="Hind Madurai"/>
          <w:b/>
          <w:bCs/>
          <w:color w:val="353434"/>
          <w:sz w:val="22"/>
          <w:szCs w:val="22"/>
        </w:rPr>
        <w:t xml:space="preserve">02/2024 – 02/2026 · 50Hertz Transmission (Elia Group) · Énergie</w:t>
      </w:r>
    </w:p>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160"/>
        <w:gridCol w:w="9300"/>
      </w:tblGrid>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Rôle</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Designer senior en expérience et interface utilisateur, chercheur utilisateur, rédacteur UX</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Mission</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Construction d’un service d’autorisation B2B2C permettant aux clients particuliers et professionnels d’autoriser le partage de leurs données de comptage avec des fournisseurs de services énergétiques. Trois groupes d’utilisateurs — clients finaux, gestionnaires de points de comptage, fournisseurs de services — dans un seul système, porté de bout en bout, de la recherche à l’interface, aux visuels et au texte.</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Démarche</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Entretiens structurés et deux itérations de prototype avec des gestionnaires de points de comptage, analysés dans Condens, d’où un persona fondé sur la recherche et une carte de parcours client. Arborescence en deux phases, wireframes et textes principaux du site public ; portail B2C pensé d’abord pour le mobile, portail B2B pour les entreprises, concept d’intégration au portail partenaires de 50Hertz. Interface dans le design system Nova du groupe Elia, avec tokens, variantes et mise en concordance lors de l’arrivée de la nouvelle bibliothèque. Rédaction UX sans jargon, illustrations au trait semi-réalistes comme élément de marque, dépliant produit. Animation de trois ateliers : parcours client avec le product management à Bruxelles, idéation avec des gestionnaires de compteurs au 50Hertz EnergieMarktDialog à Berlin, atelier de vision lors du séminaire d’équipe. Transmission au développement.</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Résultat</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 service a été lancé en septembre 2025 et bien accueilli par la presse spécialisée. Les entretiens ont fait émerger un motif de refus standard, mis en œuvre tôt, qui supprime les allers-retours entre gestionnaires et fournisseurs. Les tests ont confirmé que la vue d’ensemble en tuiles colorées se comprend immédiatement. Le déploiement dépasse la zone de réglage de 50Hertz.</w:t>
            </w:r>
          </w:p>
        </w:tc>
      </w:tr>
      <w:tr>
        <w:tc>
          <w:tcPr>
            <w:tcW w:type="dxa" w:w="1160"/>
            <w:tcMar>
              <w:top w:type="dxa" w:w="0"/>
              <w:left w:type="dxa" w:w="0"/>
              <w:bottom w:type="dxa" w:w="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Outils</w:t>
            </w:r>
          </w:p>
        </w:tc>
        <w:tc>
          <w:tcPr>
            <w:tcW w:type="dxa" w:w="9300"/>
            <w:tcMar>
              <w:top w:type="dxa" w:w="0"/>
              <w:left w:type="dxa" w:w="0"/>
              <w:bottom w:type="dxa" w:w="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Figma, Adobe Creative Suite, Condens, Hotjar, Matomo, Azure DevOps, Confluence</w:t>
            </w:r>
          </w:p>
        </w:tc>
      </w:tr>
    </w:tbl>
    <w:p>
      <w:pPr>
        <w:keepNext/>
        <w:spacing w:after="220" w:before="400" w:line="300" w:lineRule="exact"/>
      </w:pPr>
      <w:r>
        <w:rPr>
          <w:rFonts w:ascii="Hind Madurai" w:cs="Hind Madurai" w:eastAsia="Hind Madurai" w:hAnsi="Hind Madurai"/>
          <w:b/>
          <w:bCs/>
          <w:color w:val="353434"/>
          <w:sz w:val="22"/>
          <w:szCs w:val="22"/>
        </w:rPr>
        <w:t xml:space="preserve">09/2021 – 11/2023 · Porsche Digital (via UDG) · Automobile</w:t>
      </w:r>
    </w:p>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160"/>
        <w:gridCol w:w="9300"/>
      </w:tblGrid>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Rôle</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Designer UX senior, designer UI, chercheur utilisateur</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Mission</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Réunir deux produits SaaS et une application iOS native en une seule application web responsive — l’outil du personnel de service pour Porsche Drive Rental et Flex sur 35 sites en Allemagne. Objectif : moins de développement et de maintenance, un meilleur soutien au quotidien.</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Démarche</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Observation en poste sur trois sites — Porsche Zentrum Hamburg, Porsche Zentrum Berlin, musée Porsche de Stuttgart — suivie d’entretiens de clarification. Service blueprint et carte de parcours couvrant clients finaux et personnel de service, comme base des nouveaux flux. Flux cibles pensés d’abord pour le mobile, prototypes des cas d’usage centraux dans UXPin. Cinq lignes directrices UX comme étoile polaire commune à l’équipe et aux parties prenantes. Validation des premières maquettes par questionnaires Optimal Workshop envoyés à toute l’équipe de service, un tiers de réponses. Interface prête pour le développement dans Figma, avec le design system Porsche, pour ordinateur, tablette et smartphone, transmission comprise.</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Résultat</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Trois produits n’en font plus qu’un. Remises et restitutions se traitent par voie numérique ; les formulaires papier et leur saisie ultérieure ont disparu. S’y ajoutent une vue dédiée aux remises et restitutions, une densité d’information accrue dans les tableaux et des filtres uniformisés. Le questionnaire comparatif a jugé la nouvelle vue des réservations nettement plus utile que l’ancienne — sans une seule réponse négative.</w:t>
            </w:r>
          </w:p>
        </w:tc>
      </w:tr>
      <w:tr>
        <w:tc>
          <w:tcPr>
            <w:tcW w:type="dxa" w:w="1160"/>
            <w:tcMar>
              <w:top w:type="dxa" w:w="0"/>
              <w:left w:type="dxa" w:w="0"/>
              <w:bottom w:type="dxa" w:w="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Outils</w:t>
            </w:r>
          </w:p>
        </w:tc>
        <w:tc>
          <w:tcPr>
            <w:tcW w:type="dxa" w:w="9300"/>
            <w:tcMar>
              <w:top w:type="dxa" w:w="0"/>
              <w:left w:type="dxa" w:w="0"/>
              <w:bottom w:type="dxa" w:w="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Figma, Sketch, Abstract, UXPin, Dovetail, Fullstory, Optimal Workshop, Jira &amp; Confluence</w:t>
            </w:r>
          </w:p>
        </w:tc>
      </w:tr>
    </w:tbl>
    <w:p>
      <w:pPr>
        <w:sectPr>
          <w:headerReference w:type="default" r:id="rId11"/>
          <w:footerReference w:type="default" r:id="rId12"/>
          <w:pgSz w:w="11900" w:h="16840" w:orient="portrait"/>
          <w:pgMar w:top="1440" w:right="720" w:bottom="1440" w:left="720" w:header="400" w:footer="1080" w:gutter="0"/>
          <w:pgNumType/>
          <w:titlePg w:val="false"/>
          <w:docGrid w:linePitch="360"/>
        </w:sectPr>
      </w:pPr>
    </w:p>
    <w:p>
      <w:pPr>
        <w:keepNext/>
        <w:spacing w:after="220" w:before="0" w:line="300" w:lineRule="exact"/>
      </w:pPr>
      <w:r>
        <w:rPr>
          <w:rFonts w:ascii="Hind Madurai" w:cs="Hind Madurai" w:eastAsia="Hind Madurai" w:hAnsi="Hind Madurai"/>
          <w:b/>
          <w:bCs/>
          <w:color w:val="353434"/>
          <w:sz w:val="22"/>
          <w:szCs w:val="22"/>
        </w:rPr>
        <w:t xml:space="preserve">06/2020 – 12/2020 · Hermes Germany · Transport et logistique</w:t>
      </w:r>
    </w:p>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160"/>
        <w:gridCol w:w="9300"/>
      </w:tblGrid>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Rôle</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product designer</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Mission</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Refonte du suivi de colis en ligne, plus d’un million de visites par jour, pendant le pic d’envois de la période Covid.</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Démarche</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Veille concurrentielle, parcours client et ébauche de service blueprint, trois séries de tests d’utilisabilité modérés avec 24 entretiens approfondis (avec l’agence Eparo), guides d’entretien et rapports d’utilisabilité compris, prototypes mobile d’abord, rédaction UX autour de la gestion des attentes, epics et user stories, transmission au développement.</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Résultat</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Satisfaction client en hausse dans les enquêtes de suivi et recours plus fréquent aux options de livraison préférées. Cinq ans après le relancement, le service est toujours en usage, inchangé.</w:t>
            </w:r>
          </w:p>
        </w:tc>
      </w:tr>
      <w:tr>
        <w:tc>
          <w:tcPr>
            <w:tcW w:type="dxa" w:w="1160"/>
            <w:tcMar>
              <w:top w:type="dxa" w:w="0"/>
              <w:left w:type="dxa" w:w="0"/>
              <w:bottom w:type="dxa" w:w="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Outils</w:t>
            </w:r>
          </w:p>
        </w:tc>
        <w:tc>
          <w:tcPr>
            <w:tcW w:type="dxa" w:w="9300"/>
            <w:tcMar>
              <w:top w:type="dxa" w:w="0"/>
              <w:left w:type="dxa" w:w="0"/>
              <w:bottom w:type="dxa" w:w="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Figma, Axure RP, Sketch, Zeplin, Jira &amp; Confluence</w:t>
            </w:r>
          </w:p>
        </w:tc>
      </w:tr>
    </w:tbl>
    <w:p>
      <w:pPr>
        <w:sectPr>
          <w:headerReference w:type="default" r:id="rId13"/>
          <w:footerReference w:type="default" r:id="rId14"/>
          <w:pgSz w:w="11900" w:h="16840" w:orient="portrait"/>
          <w:pgMar w:top="1440" w:right="720" w:bottom="1440" w:left="720" w:header="400" w:footer="1080" w:gutter="0"/>
          <w:pgNumType/>
          <w:titlePg w:val="false"/>
          <w:docGrid w:linePitch="360"/>
        </w:sectPr>
      </w:pPr>
    </w:p>
    <w:p>
      <w:pPr>
        <w:keepNext/>
        <w:spacing w:after="220" w:before="0" w:line="300" w:lineRule="exact"/>
      </w:pPr>
      <w:r>
        <w:rPr>
          <w:rFonts w:ascii="Hind Madurai" w:cs="Hind Madurai" w:eastAsia="Hind Madurai" w:hAnsi="Hind Madurai"/>
          <w:b/>
          <w:bCs/>
          <w:color w:val="353434"/>
          <w:sz w:val="22"/>
          <w:szCs w:val="22"/>
        </w:rPr>
        <w:t xml:space="preserve">Historique des projets</w:t>
      </w:r>
    </w:p>
    <w:tbl>
      <w:tblPr>
        <w:tblW w:type="dxa" w:w="10460"/>
        <w:tblBorders>
          <w:top w:val="none" w:color="FFFFFF" w:sz="0"/>
          <w:left w:val="none" w:color="FFFFFF" w:sz="0"/>
          <w:bottom w:val="none" w:color="FFFFFF" w:sz="0"/>
          <w:right w:val="none" w:color="FFFFFF" w:sz="0"/>
          <w:insideH w:val="single" w:color="EDEDED" w:sz="4"/>
          <w:insideV w:val="none" w:color="FFFFFF" w:sz="0"/>
        </w:tblBorders>
      </w:tblPr>
      <w:tblGrid>
        <w:gridCol w:w="1720"/>
        <w:gridCol w:w="1940"/>
        <w:gridCol w:w="1580"/>
        <w:gridCol w:w="2080"/>
        <w:gridCol w:w="3140"/>
      </w:tblGrid>
      <w:tr>
        <w:trPr>
          <w:tblHeader/>
        </w:trPr>
        <w:tc>
          <w:tcPr>
            <w:tcW w:type="dxa" w:w="172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Période</w:t>
            </w:r>
          </w:p>
        </w:tc>
        <w:tc>
          <w:tcPr>
            <w:tcW w:type="dxa" w:w="194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Client</w:t>
            </w:r>
          </w:p>
        </w:tc>
        <w:tc>
          <w:tcPr>
            <w:tcW w:type="dxa" w:w="158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Secteur</w:t>
            </w:r>
          </w:p>
        </w:tc>
        <w:tc>
          <w:tcPr>
            <w:tcW w:type="dxa" w:w="208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Rôle</w:t>
            </w:r>
          </w:p>
        </w:tc>
        <w:tc>
          <w:tcPr>
            <w:tcW w:type="dxa" w:w="314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Objet</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02/2024 – 02/2026</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50Hertz / Elia Group</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Énergie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Designer UX/UI senior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Service d’autorisation de données énergétiques, B2B2C, design system Nova</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09/2021 – 11/2023</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Porsche Digital (via UDG)</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Automobile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Designer UX senior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Gestion de flotte et de réservations, design system Porsche</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06/2021 – 08/2021</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Knauf (via eTribes)</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Construction</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Consultant UX</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Fondations CMS d’un portail fabricant international</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03/2021 – 05/2021</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Deutsche Bahn</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Transport</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Designer d’interaction senior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Application WIFI@DB, parcours d’activation, scénarios de montée en gamme</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06/2020 – 12/2020</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Hermes Germany</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Logistique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product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Refonte du suivi de colis, plus d’1 M de visites/jour</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06/2019 – 12/2019</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Signal Iduna (via Forever Day One)</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Assurance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product et strategic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MVP service contrats, parcours de souscription, kit de texte</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06/2018 – 06/2019</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Volkswagen Véhicules Utilitaires</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Automobile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Consultant en design UX</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Gestion de flotte des services véhicule numériques, tableau de bord</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11/2017 – 05/2018</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Metro Systems</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Distribution</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designer UX</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Stratégie de contenu de la boutique Metro Cash &amp; Carry</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06/2017 – 10/2017</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Costa digital / AIDA</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Tourisme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designer UX</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Application multiplateforme pour passagers de croisière</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01/2017 – 06/2017</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Pfizer Allemagne (via Publicis Pixelpark)</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Pharmacie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designer UX</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Plateforme de dialogue santé, processus rédactionnels, modules CMS</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09/2015 – 12/2016</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MediaMarkt-Saturn E-Business</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E-commerce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designer UX</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Tunnel de commande, tests A/B et multivariés, déploiement par pays</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08/2015 – 10/2015</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Mobility Media</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Automobile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designer UX</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Conception d’une application de télématique</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04/2015 – 08/2015</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wetter.com (via Interwall)</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Médias</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Designer UX senior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Optimisation UX pour le relancement</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04/2015 – 08/2015</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KV Niedersachsen (via Interwall)</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Santé</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designer UX</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Conventions particulières en cabinet médical</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06/2013 – 02/2015</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MediaMarkt-Saturn E-Business</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E-commerce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Designer UX senior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Refonte du tunnel de commande, tests d’utilisabilité, mise en place du moteur de recommandation</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02/2013 – 05/2013</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Volkswagen (via trommsdorff + drüner)</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Automobile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Designer UX senior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Site promotionnel du lancement XL1, personas, cartes d’empathie</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07/2012 – 03/2013</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Bosch Thermotechnik (via Mobility Media)</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Énergie du bâtiment</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Designer UX senior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Portail Effizienzhaus-online, particuliers et professionnels</w:t>
            </w:r>
          </w:p>
        </w:tc>
      </w:tr>
    </w:tbl>
    <w:p>
      <w:pPr>
        <w:sectPr>
          <w:headerReference w:type="default" r:id="rId15"/>
          <w:footerReference w:type="default" r:id="rId16"/>
          <w:pgSz w:w="11900" w:h="16840" w:orient="portrait"/>
          <w:pgMar w:top="1440" w:right="720" w:bottom="1440" w:left="720" w:header="400" w:footer="1080" w:gutter="0"/>
          <w:pgNumType/>
          <w:titlePg w:val="false"/>
          <w:docGrid w:linePitch="360"/>
        </w:sectPr>
      </w:pPr>
    </w:p>
    <w:p>
      <w:pPr>
        <w:keepNext/>
        <w:spacing w:after="220" w:before="0" w:line="300" w:lineRule="exact"/>
      </w:pPr>
      <w:r>
        <w:rPr>
          <w:rFonts w:ascii="Hind Madurai" w:cs="Hind Madurai" w:eastAsia="Hind Madurai" w:hAnsi="Hind Madurai"/>
          <w:b/>
          <w:bCs/>
          <w:color w:val="353434"/>
          <w:sz w:val="22"/>
          <w:szCs w:val="22"/>
        </w:rPr>
        <w:t xml:space="preserve">Avant 2012</w:t>
      </w:r>
    </w:p>
    <w:tbl>
      <w:tblPr>
        <w:tblW w:type="dxa" w:w="10460"/>
        <w:tblBorders>
          <w:top w:val="none" w:color="FFFFFF" w:sz="0"/>
          <w:left w:val="none" w:color="FFFFFF" w:sz="0"/>
          <w:bottom w:val="none" w:color="FFFFFF" w:sz="0"/>
          <w:right w:val="none" w:color="FFFFFF" w:sz="0"/>
          <w:insideH w:val="single" w:color="EDEDED" w:sz="4"/>
          <w:insideV w:val="none" w:color="FFFFFF" w:sz="0"/>
        </w:tblBorders>
      </w:tblPr>
      <w:tblGrid>
        <w:gridCol w:w="1720"/>
        <w:gridCol w:w="1940"/>
        <w:gridCol w:w="1580"/>
        <w:gridCol w:w="2080"/>
        <w:gridCol w:w="3140"/>
      </w:tblGrid>
      <w:tr>
        <w:trPr>
          <w:tblHeader/>
        </w:trPr>
        <w:tc>
          <w:tcPr>
            <w:tcW w:type="dxa" w:w="172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Période</w:t>
            </w:r>
          </w:p>
        </w:tc>
        <w:tc>
          <w:tcPr>
            <w:tcW w:type="dxa" w:w="194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Client</w:t>
            </w:r>
          </w:p>
        </w:tc>
        <w:tc>
          <w:tcPr>
            <w:tcW w:type="dxa" w:w="158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Secteur</w:t>
            </w:r>
          </w:p>
        </w:tc>
        <w:tc>
          <w:tcPr>
            <w:tcW w:type="dxa" w:w="208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Rôle</w:t>
            </w:r>
          </w:p>
        </w:tc>
        <w:tc>
          <w:tcPr>
            <w:tcW w:type="dxa" w:w="314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Objet</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2006 – 2012</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BMW, Commerzbank, Allianz, JTI Allemagne et Suisse, Plus Handelsgesellschaft, Vodafone, agences : Argonauten, Publicis Pixelpark, Scholz &amp; Friends, Plan.Net, I-D Media et autres</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divers</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Concepteur-rédacteur indépendant</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Projets en ligne et cross-médias, conception et texte</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2000 – 2002</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Terratools, Potsdam-Babelsberg</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Médias et jeux vidéo</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Directeur de production / chef de projet général</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Plateforme de jeux 3D en ligne pour Kirch New Media</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1995 – 2000</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T-Systems MMS, Dresde</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Télécommu­nications</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Gestion de projet</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VPN France Télécom et Telekom, page d’accueil Telekom, étude de portail haut débit</w:t>
            </w:r>
          </w:p>
        </w:tc>
      </w:tr>
    </w:tbl>
    <w:sectPr>
      <w:headerReference w:type="default" r:id="rId17"/>
      <w:footerReference w:type="default" r:id="rId18"/>
      <w:pgSz w:w="11900" w:h="16840" w:orient="portrait"/>
      <w:pgMar w:top="1440" w:right="720" w:bottom="1440" w:left="720" w:header="400" w:footer="1080"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line="220" w:lineRule="exact"/>
      <w:jc w:val="right"/>
    </w:pPr>
    <w:r>
      <w:rPr>
        <w:rFonts w:ascii="Hind Madurai" w:cs="Hind Madurai" w:eastAsia="Hind Madurai" w:hAnsi="Hind Madurai"/>
        <w:b/>
        <w:bCs/>
        <w:color w:val="353434"/>
        <w:sz w:val="16"/>
        <w:szCs w:val="16"/>
      </w:rPr>
      <w:t xml:space="preserve">PAGE 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line="220" w:lineRule="exact"/>
      <w:jc w:val="right"/>
    </w:pPr>
    <w:r>
      <w:rPr>
        <w:rFonts w:ascii="Hind Madurai" w:cs="Hind Madurai" w:eastAsia="Hind Madurai" w:hAnsi="Hind Madurai"/>
        <w:b/>
        <w:bCs/>
        <w:color w:val="353434"/>
        <w:sz w:val="16"/>
        <w:szCs w:val="16"/>
      </w:rPr>
      <w:t xml:space="preserve">PAGE 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line="220" w:lineRule="exact"/>
      <w:jc w:val="right"/>
    </w:pPr>
    <w:r>
      <w:rPr>
        <w:rFonts w:ascii="Hind Madurai" w:cs="Hind Madurai" w:eastAsia="Hind Madurai" w:hAnsi="Hind Madurai"/>
        <w:b/>
        <w:bCs/>
        <w:color w:val="353434"/>
        <w:sz w:val="16"/>
        <w:szCs w:val="16"/>
      </w:rPr>
      <w:t xml:space="preserve">PAGE 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line="220" w:lineRule="exact"/>
      <w:jc w:val="right"/>
    </w:pPr>
    <w:r>
      <w:rPr>
        <w:rFonts w:ascii="Hind Madurai" w:cs="Hind Madurai" w:eastAsia="Hind Madurai" w:hAnsi="Hind Madurai"/>
        <w:b/>
        <w:bCs/>
        <w:color w:val="353434"/>
        <w:sz w:val="16"/>
        <w:szCs w:val="16"/>
      </w:rPr>
      <w:t xml:space="preserve">PAGE 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line="220" w:lineRule="exact"/>
      <w:jc w:val="right"/>
    </w:pPr>
    <w:r>
      <w:rPr>
        <w:rFonts w:ascii="Hind Madurai" w:cs="Hind Madurai" w:eastAsia="Hind Madurai" w:hAnsi="Hind Madurai"/>
        <w:b/>
        <w:bCs/>
        <w:color w:val="353434"/>
        <w:sz w:val="16"/>
        <w:szCs w:val="16"/>
      </w:rPr>
      <w:t xml:space="preserve">PAGE 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line="220" w:lineRule="exact"/>
      <w:jc w:val="right"/>
    </w:pPr>
    <w:r>
      <w:rPr>
        <w:rFonts w:ascii="Hind Madurai" w:cs="Hind Madurai" w:eastAsia="Hind Madurai" w:hAnsi="Hind Madurai"/>
        <w:b/>
        <w:bCs/>
        <w:color w:val="353434"/>
        <w:sz w:val="16"/>
        <w:szCs w:val="16"/>
      </w:rPr>
      <w:t xml:space="preserve">PAGE 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60"/>
    </w:tblGrid>
    <w:tr>
      <w:tc>
        <w:tcPr>
          <w:tcW w:type="dxa" w:w="10460"/>
          <w:shd w:fill="F1F1F1" w:color="auto" w:val="clear"/>
          <w:tcMar>
            <w:top w:type="dxa" w:w="100"/>
            <w:left w:type="dxa" w:w="0"/>
            <w:bottom w:type="dxa" w:w="100"/>
            <w:right w:type="dxa" w:w="160"/>
          </w:tcMar>
          <w:vAlign w:val="top"/>
        </w:tcPr>
        <w:p>
          <w:pPr>
            <w:spacing w:after="0" w:before="80" w:line="220" w:lineRule="exact"/>
            <w:ind w:left="160"/>
          </w:pPr>
          <w:r>
            <w:rPr>
              <w:rFonts w:ascii="Hind Madurai" w:cs="Hind Madurai" w:eastAsia="Hind Madurai" w:hAnsi="Hind Madurai"/>
              <w:b/>
              <w:bCs/>
              <w:color w:val="000000"/>
              <w:sz w:val="16"/>
              <w:szCs w:val="16"/>
            </w:rPr>
            <w:t xml:space="preserve">Contact</w:t>
          </w:r>
          <w:r>
            <w:rPr>
              <w:rFonts w:ascii="Hind Madurai" w:cs="Hind Madurai" w:eastAsia="Hind Madurai" w:hAnsi="Hind Madurai"/>
              <w:b w:val="false"/>
              <w:bCs w:val="false"/>
              <w:color w:val="000000"/>
              <w:sz w:val="16"/>
              <w:szCs w:val="16"/>
            </w:rPr>
            <w:t xml:space="preserve">  info@eikeotto.de · eikeotto.de ·  +49 1577 1900 880</w:t>
          </w:r>
        </w:p>
        <w:p>
          <w:pPr>
            <w:tabs>
              <w:tab w:val="left" w:pos="1160"/>
              <w:tab w:val="left" w:pos="1720"/>
              <w:tab w:val="left" w:pos="4460"/>
              <w:tab w:val="left" w:pos="6500"/>
            </w:tabs>
            <w:spacing w:after="0" w:before="80" w:line="220" w:lineRule="exact"/>
            <w:ind w:left="160"/>
          </w:pPr>
          <w:r>
            <w:rPr>
              <w:rFonts w:ascii="Hind Madurai" w:cs="Hind Madurai" w:eastAsia="Hind Madurai" w:hAnsi="Hind Madurai"/>
              <w:b/>
              <w:bCs/>
              <w:color w:val="000000"/>
              <w:sz w:val="16"/>
              <w:szCs w:val="16"/>
            </w:rPr>
            <w:t xml:space="preserve">Localisation</w:t>
          </w:r>
          <w:r>
            <w:rPr>
              <w:rFonts w:ascii="Hind Madurai" w:cs="Hind Madurai" w:eastAsia="Hind Madurai" w:hAnsi="Hind Madurai"/>
              <w:sz w:val="16"/>
              <w:szCs w:val="16"/>
            </w:rPr>
            <w:t xml:space="preserve">	</w:t>
          </w:r>
          <w:r>
            <w:rPr>
              <w:rFonts w:ascii="Hind Madurai" w:cs="Hind Madurai" w:eastAsia="Hind Madurai" w:hAnsi="Hind Madurai"/>
              <w:b w:val="false"/>
              <w:bCs w:val="false"/>
              <w:color w:val="000000"/>
              <w:sz w:val="16"/>
              <w:szCs w:val="16"/>
            </w:rPr>
            <w:t xml:space="preserve">Berlin</w:t>
          </w:r>
          <w:r>
            <w:rPr>
              <w:rFonts w:ascii="Hind Madurai" w:cs="Hind Madurai" w:eastAsia="Hind Madurai" w:hAnsi="Hind Madurai"/>
              <w:sz w:val="16"/>
              <w:szCs w:val="16"/>
            </w:rPr>
            <w:t xml:space="preserve">	</w:t>
          </w:r>
          <w:r>
            <w:rPr>
              <w:rFonts w:ascii="Hind Madurai" w:cs="Hind Madurai" w:eastAsia="Hind Madurai" w:hAnsi="Hind Madurai"/>
              <w:b/>
              <w:bCs/>
              <w:color w:val="000000"/>
              <w:sz w:val="16"/>
              <w:szCs w:val="16"/>
            </w:rPr>
            <w:t xml:space="preserve">Mobilité</w:t>
          </w:r>
          <w:r>
            <w:rPr>
              <w:rFonts w:ascii="Hind Madurai" w:cs="Hind Madurai" w:eastAsia="Hind Madurai" w:hAnsi="Hind Madurai"/>
              <w:b w:val="false"/>
              <w:bCs w:val="false"/>
              <w:color w:val="000000"/>
              <w:sz w:val="16"/>
              <w:szCs w:val="16"/>
            </w:rPr>
            <w:t xml:space="preserve">  À distance / sur site (DACH)</w:t>
          </w:r>
          <w:r>
            <w:rPr>
              <w:rFonts w:ascii="Hind Madurai" w:cs="Hind Madurai" w:eastAsia="Hind Madurai" w:hAnsi="Hind Madurai"/>
              <w:sz w:val="16"/>
              <w:szCs w:val="16"/>
            </w:rPr>
            <w:t xml:space="preserve">	</w:t>
          </w:r>
          <w:r>
            <w:rPr>
              <w:rFonts w:ascii="Hind Madurai" w:cs="Hind Madurai" w:eastAsia="Hind Madurai" w:hAnsi="Hind Madurai"/>
              <w:b/>
              <w:bCs/>
              <w:color w:val="000000"/>
              <w:sz w:val="16"/>
              <w:szCs w:val="16"/>
            </w:rPr>
            <w:t xml:space="preserve">Disponibilité</w:t>
          </w:r>
          <w:r>
            <w:rPr>
              <w:rFonts w:ascii="Hind Madurai" w:cs="Hind Madurai" w:eastAsia="Hind Madurai" w:hAnsi="Hind Madurai"/>
              <w:b w:val="false"/>
              <w:bCs w:val="false"/>
              <w:color w:val="000000"/>
              <w:sz w:val="16"/>
              <w:szCs w:val="16"/>
            </w:rPr>
            <w:t xml:space="preserve">  Sur demande</w:t>
          </w:r>
          <w:r>
            <w:rPr>
              <w:rFonts w:ascii="Hind Madurai" w:cs="Hind Madurai" w:eastAsia="Hind Madurai" w:hAnsi="Hind Madurai"/>
              <w:sz w:val="16"/>
              <w:szCs w:val="16"/>
            </w:rPr>
            <w:t xml:space="preserve">	</w:t>
          </w:r>
          <w:r>
            <w:rPr>
              <w:rFonts w:ascii="Hind Madurai" w:cs="Hind Madurai" w:eastAsia="Hind Madurai" w:hAnsi="Hind Madurai"/>
              <w:b/>
              <w:bCs/>
              <w:color w:val="000000"/>
              <w:sz w:val="16"/>
              <w:szCs w:val="16"/>
            </w:rPr>
            <w:t xml:space="preserve">Langues</w:t>
          </w:r>
          <w:r>
            <w:rPr>
              <w:rFonts w:ascii="Hind Madurai" w:cs="Hind Madurai" w:eastAsia="Hind Madurai" w:hAnsi="Hind Madurai"/>
              <w:b w:val="false"/>
              <w:bCs w:val="false"/>
              <w:color w:val="000000"/>
              <w:sz w:val="16"/>
              <w:szCs w:val="16"/>
            </w:rPr>
            <w:t xml:space="preserve">  Allemand natif · anglais C1 · français B1</w:t>
          </w:r>
        </w:p>
      </w:tc>
    </w:tr>
  </w:tbl>
  <w:p>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60"/>
    </w:tblGrid>
    <w:tr>
      <w:tc>
        <w:tcPr>
          <w:tcW w:type="dxa" w:w="10460"/>
          <w:shd w:fill="F1F1F1" w:color="auto" w:val="clear"/>
          <w:tcMar>
            <w:top w:type="dxa" w:w="100"/>
            <w:left w:type="dxa" w:w="0"/>
            <w:bottom w:type="dxa" w:w="120"/>
            <w:right w:type="dxa" w:w="160"/>
          </w:tcMar>
          <w:vAlign w:val="top"/>
        </w:tcPr>
        <w:p>
          <w:pPr>
            <w:spacing w:after="0" w:before="0" w:line="220" w:lineRule="exact"/>
            <w:ind w:left="160"/>
          </w:pPr>
          <w:r>
            <w:rPr>
              <w:rFonts w:ascii="Hind Madurai" w:cs="Hind Madurai" w:eastAsia="Hind Madurai" w:hAnsi="Hind Madurai"/>
              <w:b/>
              <w:bCs/>
              <w:color w:val="000000"/>
              <w:sz w:val="16"/>
              <w:szCs w:val="16"/>
            </w:rPr>
            <w:t xml:space="preserve">Contact</w:t>
          </w:r>
          <w:r>
            <w:rPr>
              <w:rFonts w:ascii="Hind Madurai" w:cs="Hind Madurai" w:eastAsia="Hind Madurai" w:hAnsi="Hind Madurai"/>
              <w:b w:val="false"/>
              <w:bCs w:val="false"/>
              <w:color w:val="000000"/>
              <w:sz w:val="16"/>
              <w:szCs w:val="16"/>
            </w:rPr>
            <w:t xml:space="preserve">  info@eikeotto.de · eikeotto.de ·  +49 1577 1900 880</w:t>
          </w:r>
        </w:p>
      </w:tc>
    </w:tr>
  </w:tbl>
  <w:p>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60"/>
    </w:tblGrid>
    <w:tr>
      <w:tc>
        <w:tcPr>
          <w:tcW w:type="dxa" w:w="10460"/>
          <w:shd w:fill="F1F1F1" w:color="auto" w:val="clear"/>
          <w:tcMar>
            <w:top w:type="dxa" w:w="100"/>
            <w:left w:type="dxa" w:w="0"/>
            <w:bottom w:type="dxa" w:w="120"/>
            <w:right w:type="dxa" w:w="160"/>
          </w:tcMar>
          <w:vAlign w:val="top"/>
        </w:tcPr>
        <w:p>
          <w:pPr>
            <w:spacing w:after="0" w:before="0" w:line="220" w:lineRule="exact"/>
            <w:ind w:left="160"/>
          </w:pPr>
          <w:r>
            <w:rPr>
              <w:rFonts w:ascii="Hind Madurai" w:cs="Hind Madurai" w:eastAsia="Hind Madurai" w:hAnsi="Hind Madurai"/>
              <w:b/>
              <w:bCs/>
              <w:color w:val="000000"/>
              <w:sz w:val="16"/>
              <w:szCs w:val="16"/>
            </w:rPr>
            <w:t xml:space="preserve">Contact</w:t>
          </w:r>
          <w:r>
            <w:rPr>
              <w:rFonts w:ascii="Hind Madurai" w:cs="Hind Madurai" w:eastAsia="Hind Madurai" w:hAnsi="Hind Madurai"/>
              <w:b w:val="false"/>
              <w:bCs w:val="false"/>
              <w:color w:val="000000"/>
              <w:sz w:val="16"/>
              <w:szCs w:val="16"/>
            </w:rPr>
            <w:t xml:space="preserve">  info@eikeotto.de · eikeotto.de ·  +49 1577 1900 880</w:t>
          </w:r>
        </w:p>
      </w:tc>
    </w:tr>
  </w:tbl>
  <w:p>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60"/>
    </w:tblGrid>
    <w:tr>
      <w:tc>
        <w:tcPr>
          <w:tcW w:type="dxa" w:w="10460"/>
          <w:shd w:fill="F1F1F1" w:color="auto" w:val="clear"/>
          <w:tcMar>
            <w:top w:type="dxa" w:w="100"/>
            <w:left w:type="dxa" w:w="0"/>
            <w:bottom w:type="dxa" w:w="120"/>
            <w:right w:type="dxa" w:w="160"/>
          </w:tcMar>
          <w:vAlign w:val="top"/>
        </w:tcPr>
        <w:p>
          <w:pPr>
            <w:spacing w:after="0" w:before="0" w:line="220" w:lineRule="exact"/>
            <w:ind w:left="160"/>
          </w:pPr>
          <w:r>
            <w:rPr>
              <w:rFonts w:ascii="Hind Madurai" w:cs="Hind Madurai" w:eastAsia="Hind Madurai" w:hAnsi="Hind Madurai"/>
              <w:b/>
              <w:bCs/>
              <w:color w:val="000000"/>
              <w:sz w:val="16"/>
              <w:szCs w:val="16"/>
            </w:rPr>
            <w:t xml:space="preserve">Contact</w:t>
          </w:r>
          <w:r>
            <w:rPr>
              <w:rFonts w:ascii="Hind Madurai" w:cs="Hind Madurai" w:eastAsia="Hind Madurai" w:hAnsi="Hind Madurai"/>
              <w:b w:val="false"/>
              <w:bCs w:val="false"/>
              <w:color w:val="000000"/>
              <w:sz w:val="16"/>
              <w:szCs w:val="16"/>
            </w:rPr>
            <w:t xml:space="preserve">  info@eikeotto.de · eikeotto.de ·  +49 1577 1900 880</w:t>
          </w:r>
        </w:p>
      </w:tc>
    </w:tr>
  </w:tbl>
  <w:p>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60"/>
    </w:tblGrid>
    <w:tr>
      <w:tc>
        <w:tcPr>
          <w:tcW w:type="dxa" w:w="10460"/>
          <w:shd w:fill="F1F1F1" w:color="auto" w:val="clear"/>
          <w:tcMar>
            <w:top w:type="dxa" w:w="100"/>
            <w:left w:type="dxa" w:w="0"/>
            <w:bottom w:type="dxa" w:w="120"/>
            <w:right w:type="dxa" w:w="160"/>
          </w:tcMar>
          <w:vAlign w:val="top"/>
        </w:tcPr>
        <w:p>
          <w:pPr>
            <w:spacing w:after="0" w:before="0" w:line="220" w:lineRule="exact"/>
            <w:ind w:left="160"/>
          </w:pPr>
          <w:r>
            <w:rPr>
              <w:rFonts w:ascii="Hind Madurai" w:cs="Hind Madurai" w:eastAsia="Hind Madurai" w:hAnsi="Hind Madurai"/>
              <w:b/>
              <w:bCs/>
              <w:color w:val="000000"/>
              <w:sz w:val="16"/>
              <w:szCs w:val="16"/>
            </w:rPr>
            <w:t xml:space="preserve">Contact</w:t>
          </w:r>
          <w:r>
            <w:rPr>
              <w:rFonts w:ascii="Hind Madurai" w:cs="Hind Madurai" w:eastAsia="Hind Madurai" w:hAnsi="Hind Madurai"/>
              <w:b w:val="false"/>
              <w:bCs w:val="false"/>
              <w:color w:val="000000"/>
              <w:sz w:val="16"/>
              <w:szCs w:val="16"/>
            </w:rPr>
            <w:t xml:space="preserve">  info@eikeotto.de · eikeotto.de ·  +49 1577 1900 880</w:t>
          </w:r>
        </w:p>
      </w:tc>
    </w:tr>
  </w:tbl>
  <w:p>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60"/>
    </w:tblGrid>
    <w:tr>
      <w:tc>
        <w:tcPr>
          <w:tcW w:type="dxa" w:w="10460"/>
          <w:shd w:fill="F1F1F1" w:color="auto" w:val="clear"/>
          <w:tcMar>
            <w:top w:type="dxa" w:w="100"/>
            <w:left w:type="dxa" w:w="0"/>
            <w:bottom w:type="dxa" w:w="120"/>
            <w:right w:type="dxa" w:w="160"/>
          </w:tcMar>
          <w:vAlign w:val="top"/>
        </w:tcPr>
        <w:p>
          <w:pPr>
            <w:spacing w:after="0" w:before="0" w:line="220" w:lineRule="exact"/>
            <w:ind w:left="160"/>
          </w:pPr>
          <w:r>
            <w:rPr>
              <w:rFonts w:ascii="Hind Madurai" w:cs="Hind Madurai" w:eastAsia="Hind Madurai" w:hAnsi="Hind Madurai"/>
              <w:b/>
              <w:bCs/>
              <w:color w:val="000000"/>
              <w:sz w:val="16"/>
              <w:szCs w:val="16"/>
            </w:rPr>
            <w:t xml:space="preserve">Contact</w:t>
          </w:r>
          <w:r>
            <w:rPr>
              <w:rFonts w:ascii="Hind Madurai" w:cs="Hind Madurai" w:eastAsia="Hind Madurai" w:hAnsi="Hind Madurai"/>
              <w:b w:val="false"/>
              <w:bCs w:val="false"/>
              <w:color w:val="000000"/>
              <w:sz w:val="16"/>
              <w:szCs w:val="16"/>
            </w:rPr>
            <w:t xml:space="preserve">  info@eikeotto.de · eikeotto.de ·  +49 1577 1900 880</w:t>
          </w:r>
        </w:p>
      </w:tc>
    </w:tr>
  </w:tbl>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ind Madurai" w:cs="Hind Madurai" w:eastAsia="Hind Madurai" w:hAnsi="Hind Madurai"/>
        <w:color w:val="353434"/>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footer" Target="footer5.xml"/><Relationship Id="rId17" Type="http://schemas.openxmlformats.org/officeDocument/2006/relationships/header" Target="header6.xml"/><Relationship Id="rId18" Type="http://schemas.openxmlformats.org/officeDocument/2006/relationships/footer" Target="footer6.xml"/><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word/_rels/header4.xml.rels><?xml version="1.0" encoding="UTF-8"?><Relationships xmlns="http://schemas.openxmlformats.org/package/2006/relationships"/>
</file>

<file path=word/_rels/header5.xml.rels><?xml version="1.0" encoding="UTF-8"?><Relationships xmlns="http://schemas.openxmlformats.org/package/2006/relationships"/>
</file>

<file path=word/_rels/header6.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Eike Otto — Profil</dc:title>
  <dc:creator>Eike Otto</dc:creator>
  <dc:description>Designer UX/UI senior · Design produit · Recherche utilisateur · UX writing</dc:description>
  <cp:lastModifiedBy>Un-named</cp:lastModifiedBy>
  <cp:revision>1</cp:revision>
  <dcterms:created xsi:type="dcterms:W3CDTF">2026-08-28T11:39:30.508Z</dcterms:created>
  <dcterms:modified xsi:type="dcterms:W3CDTF">2026-08-28T11:39:30.508Z</dcterms:modified>
</cp:coreProperties>
</file>

<file path=docProps/custom.xml><?xml version="1.0" encoding="utf-8"?>
<Properties xmlns="http://schemas.openxmlformats.org/officeDocument/2006/custom-properties" xmlns:vt="http://schemas.openxmlformats.org/officeDocument/2006/docPropsVTypes"/>
</file>